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81" w:rsidRPr="00AF43F6" w:rsidRDefault="00941781" w:rsidP="00941781">
      <w:pPr>
        <w:widowControl/>
        <w:shd w:val="clear" w:color="auto" w:fill="FFFFFF"/>
        <w:jc w:val="center"/>
        <w:rPr>
          <w:rFonts w:ascii="Calibri" w:eastAsia="宋体" w:hAnsi="Calibri" w:cs="Calibri"/>
          <w:color w:val="000000"/>
          <w:kern w:val="0"/>
          <w:szCs w:val="21"/>
        </w:rPr>
      </w:pPr>
      <w:r w:rsidRPr="00AF43F6">
        <w:rPr>
          <w:rFonts w:ascii="仿宋" w:eastAsia="仿宋" w:hAnsi="仿宋" w:cs="Calibri" w:hint="eastAsia"/>
          <w:b/>
          <w:bCs/>
          <w:color w:val="000000"/>
          <w:kern w:val="0"/>
          <w:sz w:val="28"/>
          <w:szCs w:val="28"/>
        </w:rPr>
        <w:t>武汉大学全英文授课课程信息表</w:t>
      </w:r>
    </w:p>
    <w:p w:rsidR="00941781" w:rsidRPr="00AF43F6" w:rsidRDefault="00941781" w:rsidP="00941781">
      <w:pPr>
        <w:widowControl/>
        <w:shd w:val="clear" w:color="auto" w:fill="FFFFFF"/>
        <w:spacing w:after="240" w:line="315" w:lineRule="atLeast"/>
        <w:jc w:val="center"/>
        <w:rPr>
          <w:rFonts w:ascii="Calibri" w:eastAsia="宋体" w:hAnsi="Calibri" w:cs="Calibri"/>
          <w:color w:val="000000"/>
          <w:kern w:val="0"/>
          <w:szCs w:val="21"/>
        </w:rPr>
      </w:pPr>
      <w:r w:rsidRPr="00AF43F6">
        <w:rPr>
          <w:rFonts w:ascii="Times New Roman" w:eastAsia="宋体" w:hAnsi="Times New Roman" w:cs="Times New Roman"/>
          <w:b/>
          <w:bCs/>
          <w:color w:val="000000"/>
          <w:kern w:val="0"/>
          <w:sz w:val="28"/>
          <w:szCs w:val="28"/>
        </w:rPr>
        <w:t>Wuhan University</w:t>
      </w:r>
      <w:r w:rsidRPr="00AF43F6">
        <w:rPr>
          <w:rFonts w:ascii="Times New Roman" w:eastAsia="宋体" w:hAnsi="Times New Roman" w:cs="Times New Roman"/>
          <w:b/>
          <w:bCs/>
          <w:color w:val="000000"/>
          <w:kern w:val="0"/>
          <w:sz w:val="28"/>
        </w:rPr>
        <w:t> </w:t>
      </w:r>
      <w:r w:rsidRPr="00AF43F6">
        <w:rPr>
          <w:rFonts w:ascii="Times New Roman" w:eastAsia="宋体" w:hAnsi="Times New Roman" w:cs="Times New Roman"/>
          <w:b/>
          <w:bCs/>
          <w:color w:val="000000"/>
          <w:kern w:val="0"/>
          <w:sz w:val="28"/>
          <w:szCs w:val="28"/>
        </w:rPr>
        <w:t>Course Outline</w:t>
      </w:r>
    </w:p>
    <w:p w:rsidR="00941781" w:rsidRPr="00AF43F6" w:rsidRDefault="00941781" w:rsidP="00941781">
      <w:pPr>
        <w:widowControl/>
        <w:shd w:val="clear" w:color="auto" w:fill="FFFFFF"/>
        <w:jc w:val="left"/>
        <w:rPr>
          <w:rFonts w:ascii="Calibri" w:eastAsia="宋体" w:hAnsi="Calibri" w:cs="Calibri"/>
          <w:color w:val="000000"/>
          <w:kern w:val="0"/>
          <w:szCs w:val="21"/>
        </w:rPr>
      </w:pPr>
      <w:r w:rsidRPr="00AF43F6">
        <w:rPr>
          <w:rFonts w:ascii="Times New Roman" w:eastAsia="宋体" w:hAnsi="Times New Roman" w:cs="Times New Roman"/>
          <w:b/>
          <w:bCs/>
          <w:color w:val="000000"/>
          <w:kern w:val="0"/>
          <w:sz w:val="24"/>
          <w:szCs w:val="24"/>
        </w:rPr>
        <w:t>School/Department:</w:t>
      </w:r>
      <w:r w:rsidRPr="004E144D">
        <w:rPr>
          <w:rFonts w:ascii="Times New Roman" w:eastAsia="仿宋" w:hAnsi="Times New Roman" w:cs="Times New Roman" w:hint="eastAsia"/>
          <w:b/>
          <w:sz w:val="24"/>
          <w:szCs w:val="24"/>
        </w:rPr>
        <w:t xml:space="preserve"> </w:t>
      </w:r>
      <w:r>
        <w:rPr>
          <w:rFonts w:ascii="Times New Roman" w:eastAsia="仿宋" w:hAnsi="Times New Roman" w:cs="Times New Roman" w:hint="eastAsia"/>
          <w:b/>
          <w:sz w:val="24"/>
          <w:szCs w:val="24"/>
        </w:rPr>
        <w:t>Law School</w:t>
      </w:r>
    </w:p>
    <w:tbl>
      <w:tblPr>
        <w:tblW w:w="8460" w:type="dxa"/>
        <w:tblInd w:w="108" w:type="dxa"/>
        <w:shd w:val="clear" w:color="auto" w:fill="FFFFFF"/>
        <w:tblCellMar>
          <w:left w:w="0" w:type="dxa"/>
          <w:right w:w="0" w:type="dxa"/>
        </w:tblCellMar>
        <w:tblLook w:val="04A0"/>
      </w:tblPr>
      <w:tblGrid>
        <w:gridCol w:w="3043"/>
        <w:gridCol w:w="5417"/>
      </w:tblGrid>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Course Name (Chinese)*</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宋体" w:eastAsia="宋体" w:hAnsi="宋体" w:cs="Calibri" w:hint="eastAsia"/>
                <w:kern w:val="0"/>
                <w:sz w:val="24"/>
                <w:szCs w:val="24"/>
              </w:rPr>
              <w:t>国际知识产权法</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Course Name (English)*</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International Intellectual Property Law</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Course Code*</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 </w:t>
            </w:r>
            <w:r>
              <w:rPr>
                <w:rFonts w:ascii="Times New Roman" w:eastAsia="宋体" w:hAnsi="Times New Roman" w:cs="Times New Roman" w:hint="eastAsia"/>
                <w:kern w:val="0"/>
                <w:sz w:val="24"/>
                <w:szCs w:val="24"/>
              </w:rPr>
              <w:t>201401922</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Availability*</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宋体" w:eastAsia="宋体" w:hAnsi="宋体" w:cs="Calibri" w:hint="eastAsia"/>
                <w:kern w:val="0"/>
                <w:sz w:val="24"/>
                <w:szCs w:val="24"/>
              </w:rPr>
              <w:t>√</w:t>
            </w:r>
            <w:r w:rsidRPr="00AF43F6">
              <w:rPr>
                <w:rFonts w:ascii="Times New Roman" w:eastAsia="宋体" w:hAnsi="Times New Roman" w:cs="Times New Roman"/>
                <w:kern w:val="0"/>
                <w:sz w:val="24"/>
                <w:szCs w:val="24"/>
              </w:rPr>
              <w:t>Semester 1  </w:t>
            </w:r>
            <w:r w:rsidRPr="00AF43F6">
              <w:rPr>
                <w:rFonts w:ascii="宋体" w:eastAsia="宋体" w:hAnsi="宋体" w:cs="Calibri" w:hint="eastAsia"/>
                <w:kern w:val="0"/>
                <w:sz w:val="24"/>
                <w:szCs w:val="24"/>
              </w:rPr>
              <w:t>□</w:t>
            </w:r>
            <w:r w:rsidRPr="00AF43F6">
              <w:rPr>
                <w:rFonts w:ascii="Times New Roman" w:eastAsia="宋体" w:hAnsi="Times New Roman" w:cs="Times New Roman"/>
                <w:kern w:val="0"/>
                <w:sz w:val="24"/>
                <w:szCs w:val="24"/>
              </w:rPr>
              <w:t>Semester 2</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Course Hours*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36</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Credits*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2</w:t>
            </w:r>
          </w:p>
        </w:tc>
      </w:tr>
      <w:tr w:rsidR="00941781" w:rsidRPr="00AF43F6" w:rsidTr="009D2A04">
        <w:trPr>
          <w:trHeight w:val="710"/>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Course Description*</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The course of international intellectual property law is about legal theories, legal principles and legal provisions relating to international coordination and cooperation on national intellectual property laws including laws of patent, trademark, copyright and other IP subjects</w:t>
            </w:r>
          </w:p>
        </w:tc>
      </w:tr>
      <w:tr w:rsidR="00941781" w:rsidRPr="00AF43F6" w:rsidTr="009D2A04">
        <w:trPr>
          <w:trHeight w:val="70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proofErr w:type="spellStart"/>
            <w:r w:rsidRPr="00AF43F6">
              <w:rPr>
                <w:rFonts w:ascii="Times New Roman" w:eastAsia="宋体" w:hAnsi="Times New Roman" w:cs="Times New Roman"/>
                <w:b/>
                <w:bCs/>
                <w:kern w:val="0"/>
                <w:sz w:val="24"/>
                <w:szCs w:val="24"/>
              </w:rPr>
              <w:t>CourseObjectives</w:t>
            </w:r>
            <w:proofErr w:type="spellEnd"/>
            <w:r w:rsidRPr="00AF43F6">
              <w:rPr>
                <w:rFonts w:ascii="Times New Roman" w:eastAsia="宋体" w:hAnsi="Times New Roman" w:cs="Times New Roman"/>
                <w:b/>
                <w:bCs/>
                <w:kern w:val="0"/>
                <w:sz w:val="24"/>
                <w:szCs w:val="24"/>
              </w:rPr>
              <w:t>/Content*</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The course will provide law students with essential knowledge of international coordination and cooperation system on the intellectual property. It will strengthen law students’ capabilities to argue for legal issues relating to international intellectual property system and develop legal skills to apply the knowledge to deal with practical questions. The course will start with “Introduction” which deals with IP issues of what, why and how </w:t>
            </w:r>
            <w:r w:rsidRPr="00AF43F6">
              <w:rPr>
                <w:rFonts w:ascii="Times New Roman" w:eastAsia="宋体" w:hAnsi="Times New Roman" w:cs="Times New Roman"/>
                <w:b/>
                <w:bCs/>
                <w:kern w:val="0"/>
                <w:sz w:val="24"/>
                <w:szCs w:val="24"/>
              </w:rPr>
              <w:t>(2 hours).</w:t>
            </w:r>
            <w:r w:rsidRPr="00AF43F6">
              <w:rPr>
                <w:rFonts w:ascii="Times New Roman" w:eastAsia="宋体" w:hAnsi="Times New Roman" w:cs="Times New Roman"/>
                <w:kern w:val="0"/>
                <w:sz w:val="24"/>
                <w:szCs w:val="24"/>
              </w:rPr>
              <w:t> Then the course will introduce international intellectual property system issues such as IP conventions or treaties, institutional framework</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foundations, basic principles and policies (</w:t>
            </w:r>
            <w:r w:rsidRPr="00AF43F6">
              <w:rPr>
                <w:rFonts w:ascii="Times New Roman" w:eastAsia="宋体" w:hAnsi="Times New Roman" w:cs="Times New Roman"/>
                <w:b/>
                <w:bCs/>
                <w:kern w:val="0"/>
                <w:sz w:val="24"/>
                <w:szCs w:val="24"/>
              </w:rPr>
              <w:t>Chapter I</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b/>
                <w:bCs/>
                <w:kern w:val="0"/>
                <w:sz w:val="24"/>
                <w:szCs w:val="24"/>
              </w:rPr>
              <w:t> (6 hours).</w:t>
            </w:r>
            <w:r w:rsidRPr="00AF43F6">
              <w:rPr>
                <w:rFonts w:ascii="Times New Roman" w:eastAsia="宋体" w:hAnsi="Times New Roman" w:cs="Times New Roman"/>
                <w:kern w:val="0"/>
                <w:sz w:val="24"/>
                <w:szCs w:val="24"/>
              </w:rPr>
              <w:t> The international copyright system explored in </w:t>
            </w:r>
            <w:r w:rsidRPr="00AF43F6">
              <w:rPr>
                <w:rFonts w:ascii="Times New Roman" w:eastAsia="宋体" w:hAnsi="Times New Roman" w:cs="Times New Roman"/>
                <w:b/>
                <w:bCs/>
                <w:kern w:val="0"/>
                <w:sz w:val="24"/>
                <w:szCs w:val="24"/>
              </w:rPr>
              <w:t>Chapter II (6 hours) </w:t>
            </w:r>
            <w:r w:rsidRPr="00AF43F6">
              <w:rPr>
                <w:rFonts w:ascii="Times New Roman" w:eastAsia="宋体" w:hAnsi="Times New Roman" w:cs="Times New Roman"/>
                <w:kern w:val="0"/>
                <w:sz w:val="24"/>
                <w:szCs w:val="24"/>
              </w:rPr>
              <w:t>will discuss the issues such as copyright as a form of intellectual property, how to protect copyright on the international and regional levels, and how about copyright in software and open source, etc. In </w:t>
            </w:r>
            <w:r w:rsidRPr="00AF43F6">
              <w:rPr>
                <w:rFonts w:ascii="Times New Roman" w:eastAsia="宋体" w:hAnsi="Times New Roman" w:cs="Times New Roman"/>
                <w:b/>
                <w:bCs/>
                <w:kern w:val="0"/>
                <w:sz w:val="24"/>
                <w:szCs w:val="24"/>
              </w:rPr>
              <w:t>Chapter III (6 hours)</w:t>
            </w:r>
            <w:r w:rsidRPr="00AF43F6">
              <w:rPr>
                <w:rFonts w:ascii="Times New Roman" w:eastAsia="宋体" w:hAnsi="Times New Roman" w:cs="Times New Roman"/>
                <w:kern w:val="0"/>
                <w:sz w:val="24"/>
                <w:szCs w:val="24"/>
              </w:rPr>
              <w:t> the international patent system will be discussed, including the patent as a form of intellectual property, the multilateral</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regional and national patent system, and interrelation between the patents and CBD, patent licensing</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transfer of technology and competition. Then </w:t>
            </w:r>
            <w:r w:rsidRPr="00AF43F6">
              <w:rPr>
                <w:rFonts w:ascii="Times New Roman" w:eastAsia="宋体" w:hAnsi="Times New Roman" w:cs="Times New Roman"/>
                <w:b/>
                <w:bCs/>
                <w:kern w:val="0"/>
                <w:sz w:val="24"/>
                <w:szCs w:val="24"/>
              </w:rPr>
              <w:t>Chapter IV</w:t>
            </w:r>
            <w:r w:rsidRPr="00AF43F6">
              <w:rPr>
                <w:rFonts w:ascii="Times New Roman" w:eastAsia="宋体" w:hAnsi="Times New Roman" w:cs="Times New Roman"/>
                <w:kern w:val="0"/>
                <w:sz w:val="24"/>
                <w:szCs w:val="24"/>
              </w:rPr>
              <w:t> </w:t>
            </w:r>
            <w:r w:rsidRPr="00AF43F6">
              <w:rPr>
                <w:rFonts w:ascii="Times New Roman" w:eastAsia="宋体" w:hAnsi="Times New Roman" w:cs="Times New Roman"/>
                <w:b/>
                <w:bCs/>
                <w:kern w:val="0"/>
                <w:sz w:val="24"/>
                <w:szCs w:val="24"/>
              </w:rPr>
              <w:t>(6 hours)</w:t>
            </w:r>
            <w:r w:rsidRPr="00AF43F6">
              <w:rPr>
                <w:rFonts w:ascii="Times New Roman" w:eastAsia="宋体" w:hAnsi="Times New Roman" w:cs="Times New Roman"/>
                <w:kern w:val="0"/>
                <w:sz w:val="24"/>
                <w:szCs w:val="24"/>
              </w:rPr>
              <w:t xml:space="preserve"> will deal with international trademark and identifier system which </w:t>
            </w:r>
            <w:r w:rsidRPr="00AF43F6">
              <w:rPr>
                <w:rFonts w:ascii="Times New Roman" w:eastAsia="宋体" w:hAnsi="Times New Roman" w:cs="Times New Roman"/>
                <w:kern w:val="0"/>
                <w:sz w:val="24"/>
                <w:szCs w:val="24"/>
              </w:rPr>
              <w:lastRenderedPageBreak/>
              <w:t>including trademark</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service mark</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trade name</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domain name and geographical indications from multilateral</w:t>
            </w:r>
            <w:r w:rsidRPr="00AF43F6">
              <w:rPr>
                <w:rFonts w:ascii="Times New Roman" w:eastAsia="宋体" w:hAnsi="Times New Roman" w:cs="Times New Roman"/>
                <w:kern w:val="0"/>
                <w:sz w:val="24"/>
                <w:szCs w:val="24"/>
              </w:rPr>
              <w:t>、</w:t>
            </w:r>
            <w:r w:rsidRPr="00AF43F6">
              <w:rPr>
                <w:rFonts w:ascii="Times New Roman" w:eastAsia="宋体" w:hAnsi="Times New Roman" w:cs="Times New Roman"/>
                <w:kern w:val="0"/>
                <w:sz w:val="24"/>
                <w:szCs w:val="24"/>
              </w:rPr>
              <w:t>regional and national levels. After the brief discussion of the International System for Protection of Plant Variety and Industrial Design, GIs, Domain Name, Trade Secret and Regulatory Data will be discussed simply in </w:t>
            </w:r>
            <w:r w:rsidRPr="00AF43F6">
              <w:rPr>
                <w:rFonts w:ascii="Times New Roman" w:eastAsia="宋体" w:hAnsi="Times New Roman" w:cs="Times New Roman"/>
                <w:b/>
                <w:bCs/>
                <w:kern w:val="0"/>
                <w:sz w:val="24"/>
                <w:szCs w:val="24"/>
              </w:rPr>
              <w:t>Chapter V (2 hours). Chapter VI</w:t>
            </w:r>
            <w:r w:rsidRPr="00AF43F6">
              <w:rPr>
                <w:rFonts w:ascii="Times New Roman" w:eastAsia="宋体" w:hAnsi="Times New Roman" w:cs="Times New Roman"/>
                <w:kern w:val="0"/>
                <w:sz w:val="24"/>
                <w:szCs w:val="24"/>
              </w:rPr>
              <w:t> (</w:t>
            </w:r>
            <w:r w:rsidRPr="00AF43F6">
              <w:rPr>
                <w:rFonts w:ascii="Times New Roman" w:eastAsia="宋体" w:hAnsi="Times New Roman" w:cs="Times New Roman"/>
                <w:b/>
                <w:bCs/>
                <w:kern w:val="0"/>
                <w:sz w:val="24"/>
                <w:szCs w:val="24"/>
              </w:rPr>
              <w:t>6 hours</w:t>
            </w:r>
            <w:r w:rsidRPr="00AF43F6">
              <w:rPr>
                <w:rFonts w:ascii="Times New Roman" w:eastAsia="宋体" w:hAnsi="Times New Roman" w:cs="Times New Roman"/>
                <w:kern w:val="0"/>
                <w:sz w:val="24"/>
                <w:szCs w:val="24"/>
              </w:rPr>
              <w:t>) will focus on the international enforcement of intellectual property rights and the last </w:t>
            </w:r>
            <w:r w:rsidRPr="00AF43F6">
              <w:rPr>
                <w:rFonts w:ascii="Times New Roman" w:eastAsia="宋体" w:hAnsi="Times New Roman" w:cs="Times New Roman"/>
                <w:b/>
                <w:bCs/>
                <w:kern w:val="0"/>
                <w:sz w:val="24"/>
                <w:szCs w:val="24"/>
              </w:rPr>
              <w:t>Chapter VII</w:t>
            </w:r>
            <w:r w:rsidRPr="00AF43F6">
              <w:rPr>
                <w:rFonts w:ascii="Times New Roman" w:eastAsia="宋体" w:hAnsi="Times New Roman" w:cs="Times New Roman"/>
                <w:kern w:val="0"/>
                <w:sz w:val="24"/>
                <w:szCs w:val="24"/>
              </w:rPr>
              <w:t> (</w:t>
            </w:r>
            <w:r w:rsidRPr="00AF43F6">
              <w:rPr>
                <w:rFonts w:ascii="Times New Roman" w:eastAsia="宋体" w:hAnsi="Times New Roman" w:cs="Times New Roman"/>
                <w:b/>
                <w:bCs/>
                <w:kern w:val="0"/>
                <w:sz w:val="24"/>
                <w:szCs w:val="24"/>
              </w:rPr>
              <w:t>2 hours</w:t>
            </w:r>
            <w:r w:rsidRPr="00AF43F6">
              <w:rPr>
                <w:rFonts w:ascii="Times New Roman" w:eastAsia="宋体" w:hAnsi="Times New Roman" w:cs="Times New Roman"/>
                <w:kern w:val="0"/>
                <w:sz w:val="24"/>
                <w:szCs w:val="24"/>
              </w:rPr>
              <w:t>) will expound the issues relating to China and the international intellectual property system</w:t>
            </w:r>
          </w:p>
        </w:tc>
      </w:tr>
      <w:tr w:rsidR="00941781" w:rsidRPr="00AF43F6" w:rsidTr="009D2A04">
        <w:trPr>
          <w:trHeight w:val="726"/>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lastRenderedPageBreak/>
              <w:t>Teaching Methods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Lecture</w:t>
            </w:r>
          </w:p>
        </w:tc>
      </w:tr>
      <w:tr w:rsidR="00941781" w:rsidRPr="00AF43F6" w:rsidTr="009D2A04">
        <w:trPr>
          <w:trHeight w:val="387"/>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Assessment*</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Class participation 20%, presentation or homework 30% and final exam 50%</w:t>
            </w:r>
          </w:p>
        </w:tc>
      </w:tr>
      <w:tr w:rsidR="00941781" w:rsidRPr="00AF43F6" w:rsidTr="009D2A04">
        <w:trPr>
          <w:trHeight w:val="279"/>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Textbook(s)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i/>
                <w:iCs/>
                <w:kern w:val="0"/>
                <w:sz w:val="24"/>
                <w:szCs w:val="24"/>
              </w:rPr>
              <w:t>International Intellectual Property in an Integrated World Economy</w:t>
            </w:r>
            <w:r w:rsidRPr="00AF43F6">
              <w:rPr>
                <w:rFonts w:ascii="Times New Roman" w:eastAsia="宋体" w:hAnsi="Times New Roman" w:cs="Times New Roman"/>
                <w:kern w:val="0"/>
                <w:sz w:val="24"/>
                <w:szCs w:val="24"/>
              </w:rPr>
              <w:t xml:space="preserve"> (Third Edition), Frederick Abbott, Thomas </w:t>
            </w:r>
            <w:proofErr w:type="spellStart"/>
            <w:r w:rsidRPr="00AF43F6">
              <w:rPr>
                <w:rFonts w:ascii="Times New Roman" w:eastAsia="宋体" w:hAnsi="Times New Roman" w:cs="Times New Roman"/>
                <w:kern w:val="0"/>
                <w:sz w:val="24"/>
                <w:szCs w:val="24"/>
              </w:rPr>
              <w:t>Cottier</w:t>
            </w:r>
            <w:proofErr w:type="spellEnd"/>
            <w:r w:rsidRPr="00AF43F6">
              <w:rPr>
                <w:rFonts w:ascii="Times New Roman" w:eastAsia="宋体" w:hAnsi="Times New Roman" w:cs="Times New Roman"/>
                <w:kern w:val="0"/>
                <w:sz w:val="24"/>
                <w:szCs w:val="24"/>
              </w:rPr>
              <w:t xml:space="preserve"> and Francis </w:t>
            </w:r>
            <w:proofErr w:type="spellStart"/>
            <w:r w:rsidRPr="00AF43F6">
              <w:rPr>
                <w:rFonts w:ascii="Times New Roman" w:eastAsia="宋体" w:hAnsi="Times New Roman" w:cs="Times New Roman"/>
                <w:kern w:val="0"/>
                <w:sz w:val="24"/>
                <w:szCs w:val="24"/>
              </w:rPr>
              <w:t>Gurry</w:t>
            </w:r>
            <w:proofErr w:type="spellEnd"/>
            <w:r w:rsidRPr="00AF43F6">
              <w:rPr>
                <w:rFonts w:ascii="Times New Roman" w:eastAsia="宋体" w:hAnsi="Times New Roman" w:cs="Times New Roman"/>
                <w:kern w:val="0"/>
                <w:sz w:val="24"/>
                <w:szCs w:val="24"/>
              </w:rPr>
              <w:t xml:space="preserve">, </w:t>
            </w:r>
            <w:proofErr w:type="spellStart"/>
            <w:r w:rsidRPr="00AF43F6">
              <w:rPr>
                <w:rFonts w:ascii="Times New Roman" w:eastAsia="宋体" w:hAnsi="Times New Roman" w:cs="Times New Roman"/>
                <w:kern w:val="0"/>
                <w:sz w:val="24"/>
                <w:szCs w:val="24"/>
              </w:rPr>
              <w:t>Wolters</w:t>
            </w:r>
            <w:proofErr w:type="spellEnd"/>
            <w:r w:rsidRPr="00AF43F6">
              <w:rPr>
                <w:rFonts w:ascii="Times New Roman" w:eastAsia="宋体" w:hAnsi="Times New Roman" w:cs="Times New Roman"/>
                <w:kern w:val="0"/>
                <w:sz w:val="24"/>
                <w:szCs w:val="24"/>
              </w:rPr>
              <w:t xml:space="preserve"> </w:t>
            </w:r>
            <w:proofErr w:type="spellStart"/>
            <w:r w:rsidRPr="00AF43F6">
              <w:rPr>
                <w:rFonts w:ascii="Times New Roman" w:eastAsia="宋体" w:hAnsi="Times New Roman" w:cs="Times New Roman"/>
                <w:kern w:val="0"/>
                <w:sz w:val="24"/>
                <w:szCs w:val="24"/>
              </w:rPr>
              <w:t>Kluwer</w:t>
            </w:r>
            <w:proofErr w:type="spellEnd"/>
            <w:r w:rsidRPr="00AF43F6">
              <w:rPr>
                <w:rFonts w:ascii="Times New Roman" w:eastAsia="宋体" w:hAnsi="Times New Roman" w:cs="Times New Roman"/>
                <w:kern w:val="0"/>
                <w:sz w:val="24"/>
                <w:szCs w:val="24"/>
              </w:rPr>
              <w:t xml:space="preserve"> 2015</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Reading</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 </w:t>
            </w:r>
          </w:p>
        </w:tc>
      </w:tr>
      <w:tr w:rsidR="00941781" w:rsidRPr="00AF43F6" w:rsidTr="009D2A04">
        <w:trPr>
          <w:trHeight w:val="238"/>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Prerequisites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 </w:t>
            </w:r>
          </w:p>
        </w:tc>
      </w:tr>
      <w:tr w:rsidR="00941781" w:rsidRPr="00AF43F6" w:rsidTr="009D2A04">
        <w:trPr>
          <w:trHeight w:val="249"/>
        </w:trPr>
        <w:tc>
          <w:tcPr>
            <w:tcW w:w="21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41781" w:rsidRPr="00AF43F6" w:rsidRDefault="00941781" w:rsidP="009D2A04">
            <w:pPr>
              <w:widowControl/>
              <w:jc w:val="center"/>
              <w:rPr>
                <w:rFonts w:ascii="Calibri" w:eastAsia="宋体" w:hAnsi="Calibri" w:cs="Calibri"/>
                <w:kern w:val="0"/>
                <w:szCs w:val="21"/>
              </w:rPr>
            </w:pPr>
            <w:r w:rsidRPr="00AF43F6">
              <w:rPr>
                <w:rFonts w:ascii="Times New Roman" w:eastAsia="宋体" w:hAnsi="Times New Roman" w:cs="Times New Roman"/>
                <w:b/>
                <w:bCs/>
                <w:kern w:val="0"/>
                <w:sz w:val="24"/>
                <w:szCs w:val="24"/>
              </w:rPr>
              <w:t>Lecturer(s)</w:t>
            </w:r>
          </w:p>
        </w:tc>
        <w:tc>
          <w:tcPr>
            <w:tcW w:w="6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781" w:rsidRPr="00AF43F6" w:rsidRDefault="00941781" w:rsidP="009D2A04">
            <w:pPr>
              <w:widowControl/>
              <w:rPr>
                <w:rFonts w:ascii="Calibri" w:eastAsia="宋体" w:hAnsi="Calibri" w:cs="Calibri"/>
                <w:kern w:val="0"/>
                <w:szCs w:val="21"/>
              </w:rPr>
            </w:pPr>
            <w:r w:rsidRPr="00AF43F6">
              <w:rPr>
                <w:rFonts w:ascii="Times New Roman" w:eastAsia="宋体" w:hAnsi="Times New Roman" w:cs="Times New Roman"/>
                <w:kern w:val="0"/>
                <w:sz w:val="24"/>
                <w:szCs w:val="24"/>
              </w:rPr>
              <w:t xml:space="preserve">Professor NIE, </w:t>
            </w:r>
            <w:proofErr w:type="spellStart"/>
            <w:r w:rsidRPr="00AF43F6">
              <w:rPr>
                <w:rFonts w:ascii="Times New Roman" w:eastAsia="宋体" w:hAnsi="Times New Roman" w:cs="Times New Roman"/>
                <w:kern w:val="0"/>
                <w:sz w:val="24"/>
                <w:szCs w:val="24"/>
              </w:rPr>
              <w:t>Jianqiang</w:t>
            </w:r>
            <w:proofErr w:type="spellEnd"/>
            <w:r w:rsidRPr="00AF43F6">
              <w:rPr>
                <w:rFonts w:ascii="Times New Roman" w:eastAsia="宋体" w:hAnsi="Times New Roman" w:cs="Times New Roman"/>
                <w:kern w:val="0"/>
                <w:sz w:val="24"/>
                <w:szCs w:val="24"/>
              </w:rPr>
              <w:t xml:space="preserve"> </w:t>
            </w:r>
            <w:r w:rsidRPr="00AF43F6">
              <w:rPr>
                <w:rFonts w:ascii="Times New Roman" w:eastAsia="宋体" w:hAnsi="Times New Roman" w:cs="Times New Roman"/>
                <w:kern w:val="0"/>
                <w:sz w:val="24"/>
                <w:szCs w:val="24"/>
              </w:rPr>
              <w:t>聂建强</w:t>
            </w:r>
          </w:p>
        </w:tc>
      </w:tr>
    </w:tbl>
    <w:p w:rsidR="00941781" w:rsidRPr="00AF43F6" w:rsidRDefault="00941781" w:rsidP="00941781">
      <w:pPr>
        <w:widowControl/>
        <w:shd w:val="clear" w:color="auto" w:fill="FFFFFF"/>
        <w:rPr>
          <w:rFonts w:ascii="Calibri" w:eastAsia="宋体" w:hAnsi="Calibri" w:cs="Calibri"/>
          <w:color w:val="000000"/>
          <w:kern w:val="0"/>
          <w:szCs w:val="21"/>
        </w:rPr>
      </w:pPr>
      <w:r w:rsidRPr="00AF43F6">
        <w:rPr>
          <w:rFonts w:ascii="Times New Roman" w:eastAsia="宋体" w:hAnsi="Times New Roman" w:cs="Times New Roman"/>
          <w:color w:val="000000"/>
          <w:kern w:val="0"/>
          <w:sz w:val="24"/>
          <w:szCs w:val="24"/>
        </w:rPr>
        <w:t> </w:t>
      </w:r>
    </w:p>
    <w:p w:rsidR="00941781" w:rsidRPr="00AF43F6" w:rsidRDefault="00941781" w:rsidP="00941781">
      <w:pPr>
        <w:widowControl/>
        <w:shd w:val="clear" w:color="auto" w:fill="FFFFFF"/>
        <w:rPr>
          <w:rFonts w:ascii="Calibri" w:eastAsia="宋体" w:hAnsi="Calibri" w:cs="Calibri"/>
          <w:color w:val="000000"/>
          <w:kern w:val="0"/>
          <w:szCs w:val="21"/>
        </w:rPr>
      </w:pPr>
      <w:r w:rsidRPr="00AF43F6">
        <w:rPr>
          <w:rFonts w:ascii="仿宋" w:eastAsia="仿宋" w:hAnsi="仿宋" w:cs="Calibri" w:hint="eastAsia"/>
          <w:color w:val="000000"/>
          <w:kern w:val="0"/>
          <w:sz w:val="24"/>
          <w:szCs w:val="24"/>
        </w:rPr>
        <w:t>注：*为必填。</w:t>
      </w:r>
    </w:p>
    <w:p w:rsidR="0069432F" w:rsidRDefault="0069432F"/>
    <w:sectPr w:rsidR="0069432F" w:rsidSect="006943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781"/>
    <w:rsid w:val="0069432F"/>
    <w:rsid w:val="00941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2017-10-17T08:55:00Z</dcterms:created>
  <dcterms:modified xsi:type="dcterms:W3CDTF">2017-10-17T08:55:00Z</dcterms:modified>
</cp:coreProperties>
</file>