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left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附件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武汉大学全英文授课课程信息表</w:t>
      </w:r>
    </w:p>
    <w:p>
      <w:pPr>
        <w:pStyle w:val="Normal.0"/>
        <w:spacing w:after="24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Wuhan University Course Outline</w:t>
      </w: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School/Department: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International Relations</w:t>
      </w:r>
    </w:p>
    <w:tbl>
      <w:tblPr>
        <w:tblW w:w="8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9"/>
        <w:gridCol w:w="6151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Course Name (Chinese)*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Helvetica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经济外交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Course Name (English)*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Economic Statecraft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Course Code*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201403817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Availability*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ascii="Helvetica" w:hAnsi="Helvetica"/>
                <w:sz w:val="24"/>
                <w:szCs w:val="24"/>
                <w:rtl w:val="0"/>
                <w:lang w:val="en-US"/>
              </w:rPr>
              <w:t xml:space="preserve">Semester 1 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ascii="Helvetica" w:hAnsi="Helvetica"/>
                <w:sz w:val="24"/>
                <w:szCs w:val="24"/>
                <w:rtl w:val="0"/>
                <w:lang w:val="en-US"/>
              </w:rPr>
              <w:t>Semester 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Course Hours*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Credits*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Course Description*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Theory of economic statecraft; cases studies of great powers including Spain, Portugal, France, Britain, Germany, United States, Russia, Japan, the EU; China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 economic statecraft: theory, history and practices 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Course Objectives/Content*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Gives students a general analytical framework of economic statecraft and make students familiar with the rise and fall of great powers through the prism of economic statecraft</w:t>
            </w:r>
          </w:p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Teaching Methods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case study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Assessment*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good</w:t>
            </w:r>
          </w:p>
        </w:tc>
      </w:tr>
      <w:tr>
        <w:tblPrEx>
          <w:shd w:val="clear" w:color="auto" w:fill="ced7e7"/>
        </w:tblPrEx>
        <w:trPr>
          <w:trHeight w:val="351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Textbook(s)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de-DE"/>
              </w:rPr>
            </w:pPr>
            <w:r>
              <w:rPr>
                <w:sz w:val="24"/>
                <w:szCs w:val="24"/>
                <w:rtl w:val="0"/>
                <w:lang w:val="de-DE"/>
              </w:rPr>
              <w:t>China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s Economic Diplomacy: the PRC's Growing International Influence in the 21st Century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（《新世纪的中国经济外交》），张晓通、王宏禹合著，英国查思出版社，</w:t>
            </w:r>
            <w:r>
              <w:rPr>
                <w:sz w:val="24"/>
                <w:szCs w:val="24"/>
                <w:rtl w:val="0"/>
              </w:rPr>
              <w:t>2015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sz w:val="24"/>
                <w:szCs w:val="24"/>
                <w:rtl w:val="0"/>
              </w:rPr>
              <w:t>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月出版。</w:t>
            </w:r>
          </w:p>
          <w:p>
            <w:pPr>
              <w:pStyle w:val="默认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【译著】《欧盟经济外交》，上海人民出版社，</w:t>
            </w:r>
            <w:r>
              <w:rPr>
                <w:sz w:val="24"/>
                <w:szCs w:val="24"/>
                <w:rtl w:val="0"/>
              </w:rPr>
              <w:t>2015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sz w:val="24"/>
                <w:szCs w:val="24"/>
                <w:rtl w:val="0"/>
              </w:rPr>
              <w:t>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月，译自</w:t>
            </w:r>
            <w:r>
              <w:rPr>
                <w:sz w:val="24"/>
                <w:szCs w:val="24"/>
                <w:rtl w:val="0"/>
                <w:lang w:val="en-US"/>
              </w:rPr>
              <w:t>Stephen Woolcock, European Union Economic Diplomacy, Ashgate, 2012.</w:t>
            </w:r>
          </w:p>
          <w:p>
            <w:pPr>
              <w:pStyle w:val="默认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 xml:space="preserve">3.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【译著】《经济外交官》，中国社会科学出版社，</w:t>
            </w:r>
            <w:r>
              <w:rPr>
                <w:sz w:val="24"/>
                <w:szCs w:val="24"/>
                <w:rtl w:val="0"/>
              </w:rPr>
              <w:t>2015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sz w:val="24"/>
                <w:szCs w:val="24"/>
                <w:rtl w:val="0"/>
              </w:rPr>
              <w:t>11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月，译自</w:t>
            </w:r>
            <w:r>
              <w:rPr>
                <w:sz w:val="24"/>
                <w:szCs w:val="24"/>
                <w:rtl w:val="0"/>
                <w:lang w:val="fr-FR"/>
              </w:rPr>
              <w:t>Sir Nicholas Bayne, Economic Diplomat, Memoire Club, 2012.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Reading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Prerequisites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Lecturer(s)</w:t>
            </w:r>
          </w:p>
        </w:tc>
        <w:tc>
          <w:tcPr>
            <w:tcW w:type="dxa" w:w="6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仿宋" w:cs="仿宋" w:hAnsi="仿宋" w:eastAsia="仿宋"/>
          <w:sz w:val="24"/>
          <w:szCs w:val="24"/>
          <w:rtl w:val="0"/>
          <w:lang w:val="zh-TW" w:eastAsia="zh-TW"/>
        </w:rPr>
        <w:t>注：</w:t>
      </w:r>
      <w:r>
        <w:rPr>
          <w:rFonts w:ascii="Times New Roman" w:hAnsi="Times New Roman"/>
          <w:sz w:val="24"/>
          <w:szCs w:val="24"/>
          <w:rtl w:val="0"/>
          <w:lang w:val="en-US"/>
        </w:rPr>
        <w:t>*</w:t>
      </w:r>
      <w:r>
        <w:rPr>
          <w:rFonts w:ascii="仿宋" w:cs="仿宋" w:hAnsi="仿宋" w:eastAsia="仿宋"/>
          <w:sz w:val="24"/>
          <w:szCs w:val="24"/>
          <w:rtl w:val="0"/>
          <w:lang w:val="zh-TW" w:eastAsia="zh-TW"/>
        </w:rPr>
        <w:t>为必填。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